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Indice sommario </w:t>
      </w:r>
    </w:p>
    <w:p>
      <w:pPr>
        <w:pStyle w:val="Titoloindice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Sommario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Indice1"/>
            <w:tabs>
              <w:tab w:val="clear" w:pos="708"/>
              <w:tab w:val="left" w:pos="440" w:leader="none"/>
              <w:tab w:val="right" w:pos="9628" w:leader="dot"/>
            </w:tabs>
            <w:rPr>
              <w:rFonts w:ascii="Tahoma" w:hAnsi="Tahoma" w:cs="Tahoma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Saltoaindice"/>
              <w:rFonts w:cs="Tahoma" w:ascii="Tahoma" w:hAnsi="Tahoma"/>
            </w:rPr>
            <w:instrText xml:space="preserve"> TOC \z \o "1-3" \u \h</w:instrText>
          </w:r>
          <w:r>
            <w:rPr>
              <w:webHidden/>
              <w:rStyle w:val="Saltoaindice"/>
              <w:rFonts w:cs="Tahoma" w:ascii="Tahoma" w:hAnsi="Tahoma"/>
            </w:rPr>
            <w:fldChar w:fldCharType="separate"/>
          </w:r>
          <w:hyperlink w:anchor="_Toc31298518">
            <w:r>
              <w:rPr>
                <w:webHidden/>
                <w:rStyle w:val="Saltoaindice"/>
                <w:rFonts w:cs="Tahoma" w:ascii="Tahoma" w:hAnsi="Tahoma"/>
              </w:rPr>
              <w:t>1.</w:t>
            </w:r>
            <w:r>
              <w:rPr>
                <w:rStyle w:val="Saltoaindice"/>
                <w:rFonts w:cs="Tahoma" w:ascii="Tahoma" w:hAnsi="Tahoma"/>
                <w:sz w:val="22"/>
                <w:szCs w:val="22"/>
              </w:rPr>
              <w:tab/>
            </w:r>
            <w:r>
              <w:rPr>
                <w:rStyle w:val="Saltoaindice"/>
                <w:rFonts w:cs="Tahoma" w:ascii="Tahoma" w:hAnsi="Tahoma"/>
              </w:rPr>
              <w:t>Introduzione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_Toc31298518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Tahoma" w:ascii="Tahoma" w:hAnsi="Tahoma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440" w:leader="none"/>
              <w:tab w:val="right" w:pos="9628" w:leader="dot"/>
            </w:tabs>
            <w:rPr>
              <w:rFonts w:ascii="Tahoma" w:hAnsi="Tahoma" w:cs="Tahoma"/>
              <w:sz w:val="22"/>
              <w:szCs w:val="22"/>
            </w:rPr>
          </w:pPr>
          <w:hyperlink w:anchor="_Toc31298519">
            <w:r>
              <w:rPr>
                <w:webHidden/>
                <w:rStyle w:val="Saltoaindice"/>
                <w:rFonts w:cs="Tahoma" w:ascii="Tahoma" w:hAnsi="Tahoma"/>
              </w:rPr>
              <w:t>2.</w:t>
            </w:r>
            <w:r>
              <w:rPr>
                <w:rStyle w:val="Saltoaindice"/>
                <w:rFonts w:cs="Tahoma" w:ascii="Tahoma" w:hAnsi="Tahoma"/>
                <w:sz w:val="22"/>
                <w:szCs w:val="22"/>
              </w:rPr>
              <w:tab/>
            </w:r>
            <w:r>
              <w:rPr>
                <w:rStyle w:val="Saltoaindice"/>
                <w:rFonts w:cs="Tahoma" w:ascii="Tahoma" w:hAnsi="Tahoma"/>
              </w:rPr>
              <w:t>Dati dell'organizzazione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_Toc31298519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Tahoma" w:ascii="Tahoma" w:hAnsi="Tahoma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440" w:leader="none"/>
              <w:tab w:val="right" w:pos="9628" w:leader="dot"/>
            </w:tabs>
            <w:rPr>
              <w:rFonts w:ascii="Tahoma" w:hAnsi="Tahoma" w:cs="Tahoma"/>
              <w:sz w:val="22"/>
              <w:szCs w:val="22"/>
            </w:rPr>
          </w:pPr>
          <w:hyperlink w:anchor="_Toc31298520">
            <w:r>
              <w:rPr>
                <w:webHidden/>
                <w:rStyle w:val="Saltoaindice"/>
                <w:rFonts w:cs="Tahoma" w:ascii="Tahoma" w:hAnsi="Tahoma"/>
              </w:rPr>
              <w:t>3.</w:t>
            </w:r>
            <w:r>
              <w:rPr>
                <w:rStyle w:val="Saltoaindice"/>
                <w:rFonts w:cs="Tahoma" w:ascii="Tahoma" w:hAnsi="Tahoma"/>
                <w:sz w:val="22"/>
                <w:szCs w:val="22"/>
              </w:rPr>
              <w:tab/>
            </w:r>
            <w:r>
              <w:rPr>
                <w:rStyle w:val="Saltoaindice"/>
                <w:rFonts w:cs="Tahoma" w:ascii="Tahoma" w:hAnsi="Tahoma"/>
              </w:rPr>
              <w:t>Documenti di riferimento e tipo di audit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_Toc31298520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Tahoma" w:ascii="Tahoma" w:hAnsi="Tahoma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440" w:leader="none"/>
              <w:tab w:val="right" w:pos="9628" w:leader="dot"/>
            </w:tabs>
            <w:rPr>
              <w:rFonts w:ascii="Tahoma" w:hAnsi="Tahoma" w:cs="Tahoma"/>
              <w:sz w:val="22"/>
              <w:szCs w:val="22"/>
            </w:rPr>
          </w:pPr>
          <w:hyperlink w:anchor="_Toc31298521">
            <w:r>
              <w:rPr>
                <w:webHidden/>
                <w:rStyle w:val="Saltoaindice"/>
                <w:rFonts w:cs="Tahoma" w:ascii="Tahoma" w:hAnsi="Tahoma"/>
              </w:rPr>
              <w:t>4.</w:t>
            </w:r>
            <w:r>
              <w:rPr>
                <w:rStyle w:val="Saltoaindice"/>
                <w:rFonts w:cs="Tahoma" w:ascii="Tahoma" w:hAnsi="Tahoma"/>
                <w:sz w:val="22"/>
                <w:szCs w:val="22"/>
              </w:rPr>
              <w:tab/>
            </w:r>
            <w:r>
              <w:rPr>
                <w:rStyle w:val="Saltoaindice"/>
                <w:rFonts w:cs="Tahoma" w:ascii="Tahoma" w:hAnsi="Tahoma"/>
              </w:rPr>
              <w:t>Risultanze dell’analisi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_Toc31298521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Tahoma" w:ascii="Tahoma" w:hAnsi="Tahoma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440" w:leader="none"/>
              <w:tab w:val="right" w:pos="9628" w:leader="dot"/>
            </w:tabs>
            <w:rPr>
              <w:rFonts w:ascii="Tahoma" w:hAnsi="Tahoma" w:cs="Tahoma"/>
              <w:sz w:val="22"/>
              <w:szCs w:val="22"/>
            </w:rPr>
          </w:pPr>
          <w:hyperlink w:anchor="_Toc31298522">
            <w:r>
              <w:rPr>
                <w:webHidden/>
                <w:rStyle w:val="Saltoaindice"/>
                <w:rFonts w:cs="Tahoma" w:ascii="Tahoma" w:hAnsi="Tahoma"/>
              </w:rPr>
              <w:t>5.</w:t>
            </w:r>
            <w:r>
              <w:rPr>
                <w:rStyle w:val="Saltoaindice"/>
                <w:rFonts w:cs="Tahoma" w:ascii="Tahoma" w:hAnsi="Tahoma"/>
                <w:sz w:val="22"/>
                <w:szCs w:val="22"/>
              </w:rPr>
              <w:tab/>
            </w:r>
            <w:r>
              <w:rPr>
                <w:rStyle w:val="Saltoaindice"/>
                <w:rFonts w:cs="Tahoma" w:ascii="Tahoma" w:hAnsi="Tahoma"/>
              </w:rPr>
              <w:t>Mappa del rischio reato e azioni collegabili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_Toc31298522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Tahoma" w:ascii="Tahoma" w:hAnsi="Tahoma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  <w:r>
            <w:rPr>
              <w:rStyle w:val="Saltoaindice"/>
              <w:vanish w:val="false"/>
              <w:rFonts w:cs="Tahoma" w:ascii="Tahoma" w:hAnsi="Tahoma"/>
            </w:rPr>
            <w:fldChar w:fldCharType="end"/>
          </w:r>
        </w:p>
      </w:sdtContent>
    </w:sdt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9896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48"/>
        <w:gridCol w:w="6947"/>
      </w:tblGrid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</w:rPr>
              <w:t>Nome e cognome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</w:rPr>
              <w:t>Ruolo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  <w:lang w:eastAsia="ar-SA"/>
              </w:rPr>
              <w:t>Meggie Taverni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  <w:lang w:eastAsia="ar-SA"/>
              </w:rPr>
              <w:t>Responsabile prevenzione della corruzione e trasparenza</w:t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Titolo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rPr>
          <w:rFonts w:ascii="Tahoma" w:hAnsi="Tahoma" w:cs="Tahoma"/>
          <w:sz w:val="22"/>
          <w:szCs w:val="22"/>
        </w:rPr>
      </w:pPr>
      <w:bookmarkStart w:id="0" w:name="_Toc31298518"/>
      <w:r>
        <w:rPr>
          <w:rFonts w:cs="Tahoma" w:ascii="Tahoma" w:hAnsi="Tahoma"/>
          <w:sz w:val="22"/>
          <w:szCs w:val="22"/>
        </w:rPr>
        <w:t>Introduzione</w:t>
      </w:r>
      <w:bookmarkEnd w:id="0"/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L'analisi dei rischi reato è un processo completo che comprende l'individuazione dei pericoli, la valutazione del rischio ed una decisione dell’azienda in merito al livello di rischio ritenuto non tollerabile che necessita di contromisure.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Tale attività è svolta attraverso la metodologia del controllo: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delle informazioni contenute nella documentazione messa a disposizione dall’azienda;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delle informazioni acquisite attraverso una verifica in campo.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 questo modo si assicura: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320" w:leader="none"/>
        </w:tabs>
        <w:suppressAutoHyphens w:val="true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ripetibilità dell’analisi e facilità di aggiornamento nel tempo;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320" w:leader="none"/>
        </w:tabs>
        <w:suppressAutoHyphens w:val="true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diffusione della metodologia e sua accettazione.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Tale analisi ha come fine di prendere in considerazione le azioni da implementare per adeguarsi alle disposizioni della </w:t>
      </w:r>
      <w:r>
        <w:rPr>
          <w:rFonts w:cs="Tahoma" w:ascii="Tahoma" w:hAnsi="Tahoma"/>
          <w:sz w:val="22"/>
          <w:szCs w:val="22"/>
          <w:lang w:eastAsia="ar-SA"/>
        </w:rPr>
        <w:t>legge 6 novembre 2012, n. 190</w:t>
      </w:r>
      <w:r>
        <w:rPr>
          <w:rFonts w:cs="Tahoma" w:ascii="Tahoma" w:hAnsi="Tahoma"/>
          <w:sz w:val="22"/>
          <w:szCs w:val="22"/>
        </w:rPr>
        <w:t xml:space="preserve"> così come dettagliate nel “Piano Nazionale Anticorruzione” (</w:t>
      </w:r>
      <w:r>
        <w:rPr>
          <w:rFonts w:cs="Tahoma" w:ascii="Tahoma" w:hAnsi="Tahoma"/>
          <w:sz w:val="22"/>
          <w:szCs w:val="22"/>
          <w:highlight w:val="yellow"/>
        </w:rPr>
        <w:t>PNA 2022</w:t>
      </w:r>
      <w:r>
        <w:rPr>
          <w:rFonts w:cs="Tahoma" w:ascii="Tahoma" w:hAnsi="Tahoma"/>
          <w:sz w:val="22"/>
          <w:szCs w:val="22"/>
        </w:rPr>
        <w:t>) predisposto da ANAC con delibera 1064 del novembre 2019. L’analisi del rischio è stata sviluppata seguendo le indicazioni riportate nel paragrafo 5 di questo documento.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Questo documento costituisce l’allegato al “Piano triennale di prevenzione della corruzione e trasparenza” (PTPCT) dell’AZIENDA SPECIALE FARMACEUTICA DI POGLIANO MILANESE.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Titolo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rPr>
          <w:rFonts w:ascii="Tahoma" w:hAnsi="Tahoma" w:cs="Tahoma"/>
          <w:sz w:val="22"/>
          <w:szCs w:val="22"/>
        </w:rPr>
      </w:pPr>
      <w:bookmarkStart w:id="1" w:name="_Toc31298519"/>
      <w:r>
        <w:rPr>
          <w:rFonts w:cs="Tahoma" w:ascii="Tahoma" w:hAnsi="Tahoma"/>
          <w:sz w:val="22"/>
          <w:szCs w:val="22"/>
        </w:rPr>
        <w:t>Dati dell'organizzazione</w:t>
      </w:r>
      <w:bookmarkEnd w:id="1"/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tbl>
      <w:tblPr>
        <w:tblW w:w="9497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27"/>
        <w:gridCol w:w="5669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Ragione sociale dell’azienda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ar-SA"/>
              </w:rPr>
              <w:t>Azienda Speciale Farmaceutica di Pogliano Milanese</w:t>
            </w:r>
          </w:p>
        </w:tc>
      </w:tr>
    </w:tbl>
    <w:p>
      <w:pPr>
        <w:pStyle w:val="Notaapidipagina"/>
        <w:rPr>
          <w:rFonts w:ascii="Tahoma" w:hAnsi="Tahoma" w:cs="Tahoma"/>
          <w:sz w:val="22"/>
          <w:szCs w:val="22"/>
          <w:lang w:val="it-IT"/>
        </w:rPr>
      </w:pPr>
      <w:r>
        <w:rPr>
          <w:rFonts w:cs="Tahoma" w:ascii="Tahoma" w:hAnsi="Tahoma"/>
          <w:sz w:val="22"/>
          <w:szCs w:val="22"/>
          <w:lang w:val="it-IT"/>
        </w:rPr>
      </w:r>
    </w:p>
    <w:p>
      <w:pPr>
        <w:pStyle w:val="Notaapidipagina"/>
        <w:rPr>
          <w:rFonts w:ascii="Tahoma" w:hAnsi="Tahoma" w:cs="Tahoma"/>
          <w:sz w:val="22"/>
          <w:szCs w:val="22"/>
          <w:lang w:val="it-IT"/>
        </w:rPr>
      </w:pPr>
      <w:r>
        <w:rPr>
          <w:rFonts w:cs="Tahoma" w:ascii="Tahoma" w:hAnsi="Tahoma"/>
          <w:sz w:val="22"/>
          <w:szCs w:val="22"/>
          <w:lang w:val="it-IT"/>
        </w:rPr>
      </w:r>
    </w:p>
    <w:p>
      <w:pPr>
        <w:pStyle w:val="Notaapidipagina"/>
        <w:rPr>
          <w:rFonts w:ascii="Tahoma" w:hAnsi="Tahoma" w:cs="Tahoma"/>
          <w:sz w:val="22"/>
          <w:szCs w:val="22"/>
          <w:lang w:val="it-IT"/>
        </w:rPr>
      </w:pPr>
      <w:r>
        <w:rPr>
          <w:rFonts w:cs="Tahoma" w:ascii="Tahoma" w:hAnsi="Tahoma"/>
          <w:sz w:val="22"/>
          <w:szCs w:val="22"/>
          <w:lang w:val="it-IT"/>
        </w:rPr>
      </w:r>
    </w:p>
    <w:p>
      <w:pPr>
        <w:pStyle w:val="Titolo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rPr>
          <w:rFonts w:ascii="Tahoma" w:hAnsi="Tahoma" w:cs="Tahoma"/>
          <w:sz w:val="22"/>
          <w:szCs w:val="22"/>
        </w:rPr>
      </w:pPr>
      <w:bookmarkStart w:id="2" w:name="_Toc31298520"/>
      <w:r>
        <w:rPr>
          <w:rFonts w:cs="Tahoma" w:ascii="Tahoma" w:hAnsi="Tahoma"/>
          <w:sz w:val="22"/>
          <w:szCs w:val="22"/>
        </w:rPr>
        <w:t>Documenti di riferimento e tipo di audit</w:t>
      </w:r>
      <w:bookmarkEnd w:id="2"/>
      <w:r>
        <w:rPr>
          <w:rFonts w:cs="Tahoma" w:ascii="Tahoma" w:hAnsi="Tahoma"/>
          <w:sz w:val="22"/>
          <w:szCs w:val="22"/>
        </w:rPr>
        <w:t xml:space="preserve"> 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5521"/>
      </w:tblGrid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taapidipagina"/>
              <w:widowControl w:val="false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sz w:val="22"/>
                <w:szCs w:val="22"/>
                <w:lang w:val="it-IT"/>
              </w:rPr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</w:rPr>
              <w:t>Legge Anticorruzione (190/2012)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Riordino della disciplina riguardante gli obblighi di pubblicità, trasparenza e diffusione di informazioni da parte delle pubbliche amministrazioni, approvato dal Governo il 15 febbraio 2013, in attuazione di commi 35 e 36 dell’art. 1 della l. n. 190 del 2012, decreto legislativo 14 marzo 2013, n. 33;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190, decreto legislativo 8 aprile 2013, n. 39;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Codice di comportamento per i dipendenti delle pubbliche amministrazioni, approvato con D.P.R. 16 aprile 2013, n. 62 in attuazione dell’art. 54 del d.lgs. n. 165 del 2001, come sostituito dalla l. n. 190.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Piano Nazionale Anticorruzione (PNA)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  <w:highlight w:val="yellow"/>
                <w:lang w:eastAsia="ar-SA"/>
              </w:rPr>
              <w:t>2022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Delibere ANAC</w:t>
            </w:r>
          </w:p>
          <w:p>
            <w:pPr>
              <w:pStyle w:val="Notaapidipagina"/>
              <w:widowControl w:val="false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  <w:lang w:val="it-IT"/>
              </w:rPr>
              <w:t>D.lga.97/2016 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pubbliche.</w:t>
            </w:r>
          </w:p>
          <w:p>
            <w:pPr>
              <w:pStyle w:val="Notaapidipagina"/>
              <w:widowControl w:val="false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sz w:val="22"/>
                <w:szCs w:val="22"/>
                <w:lang w:val="it-IT"/>
              </w:rPr>
              <w:t>Delibera Anac n° 1134 del novembre 2017 “Nuove Linee guida per ‘attuazione della normativa in materia di prevenzione della corruzione e trasparenza da parte delle società e degli enti di diritto privato controllati e partecipati dalle pubbliche amministrazioni e degli enti pubblici economici”.</w:t>
            </w:r>
          </w:p>
          <w:p>
            <w:pPr>
              <w:pStyle w:val="Notaapidipagina"/>
              <w:widowControl w:val="false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sz w:val="22"/>
                <w:szCs w:val="22"/>
                <w:lang w:val="it-IT"/>
              </w:rPr>
              <w:t>LEGGE 30 novembre 2017, n. 179</w:t>
            </w:r>
          </w:p>
          <w:p>
            <w:pPr>
              <w:pStyle w:val="Notaapidipagina"/>
              <w:widowControl w:val="false"/>
              <w:ind w:left="360" w:hanging="0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sz w:val="22"/>
                <w:szCs w:val="22"/>
                <w:lang w:val="it-IT"/>
              </w:rPr>
              <w:t>Disposizioni per la tutela degli autori di segnalazioni di reati o irregolarità di cui siano venuti a conoscenza nell'ambito di un rapporto di lavoro pubblico o privato</w:t>
            </w:r>
          </w:p>
        </w:tc>
      </w:tr>
    </w:tbl>
    <w:p>
      <w:pPr>
        <w:pStyle w:val="Notaapidipagina"/>
        <w:rPr>
          <w:rFonts w:ascii="Tahoma" w:hAnsi="Tahoma" w:cs="Tahoma"/>
          <w:sz w:val="22"/>
          <w:szCs w:val="22"/>
          <w:lang w:val="it-IT"/>
        </w:rPr>
      </w:pPr>
      <w:r>
        <w:rPr>
          <w:rFonts w:cs="Tahoma" w:ascii="Tahoma" w:hAnsi="Tahoma"/>
          <w:sz w:val="22"/>
          <w:szCs w:val="22"/>
          <w:lang w:val="it-IT"/>
        </w:rPr>
      </w:r>
    </w:p>
    <w:p>
      <w:pPr>
        <w:pStyle w:val="Notaapidipagina"/>
        <w:rPr>
          <w:rFonts w:ascii="Tahoma" w:hAnsi="Tahoma" w:cs="Tahoma"/>
          <w:sz w:val="22"/>
          <w:szCs w:val="22"/>
          <w:lang w:val="it-IT"/>
        </w:rPr>
      </w:pPr>
      <w:r>
        <w:rPr>
          <w:rFonts w:cs="Tahoma" w:ascii="Tahoma" w:hAnsi="Tahoma"/>
          <w:sz w:val="22"/>
          <w:szCs w:val="22"/>
          <w:lang w:val="it-IT"/>
        </w:rPr>
      </w:r>
      <w:r>
        <w:br w:type="page"/>
      </w:r>
    </w:p>
    <w:tbl>
      <w:tblPr>
        <w:tblW w:w="9923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2"/>
        <w:gridCol w:w="5670"/>
      </w:tblGrid>
      <w:tr>
        <w:trPr/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Tipo di analisi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Analisi del rischio dei reati contenuti nella Legge 190 /2012 e smi così come suggerito da specifico allegato al PNA.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Corpodeltesto21"/>
        <w:spacing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101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590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Organico (numero addetti complessivo) alla data dell’analisi:</w:t>
            </w:r>
            <w:r>
              <w:rPr>
                <w:rFonts w:cs="Tahoma" w:ascii="Tahoma" w:hAnsi="Tahoma"/>
                <w:b w:val="false"/>
                <w:i/>
                <w:sz w:val="22"/>
                <w:szCs w:val="22"/>
              </w:rPr>
              <w:t xml:space="preserve"> Per organico si intende la somma del personale dipendente assunto a tempo indeterminato, più i liberi professionisti utilizzati a tempo pieno, più le persone appartenenti ad altre imprese collegate che svolgono funzioni completamente dedicate alle attività dell’organizzazione da analizzare.</w:t>
            </w:r>
          </w:p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N </w:t>
            </w:r>
            <w:r>
              <w:rPr>
                <w:rFonts w:cs="Tahoma" w:ascii="Tahoma" w:hAnsi="Tahoma"/>
                <w:sz w:val="22"/>
                <w:szCs w:val="22"/>
                <w:highlight w:val="yellow"/>
              </w:rPr>
              <w:t>3</w:t>
            </w:r>
            <w:r>
              <w:rPr>
                <w:rFonts w:cs="Tahoma" w:ascii="Tahoma" w:hAnsi="Tahoma"/>
                <w:sz w:val="22"/>
                <w:szCs w:val="22"/>
              </w:rPr>
              <w:t xml:space="preserve"> dipendenti 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1 Direttore farmacia 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2 collaboratori farmacisti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Contratto in uso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: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CCNL ASSOFARM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Cambiamenti rispetto all’analisi precedente: </w:t>
            </w:r>
          </w:p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highlight w:val="yellow"/>
              </w:rPr>
              <w:t xml:space="preserve">Terza emissione </w:t>
            </w:r>
          </w:p>
        </w:tc>
      </w:tr>
      <w:tr>
        <w:trPr>
          <w:trHeight w:val="341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Chiusura anomalie analisi precedente: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21"/>
              <w:widowControl w:val="false"/>
              <w:spacing w:before="0" w:after="0"/>
              <w:rPr>
                <w:rFonts w:ascii="Tahoma" w:hAnsi="Tahoma" w:cs="Tahoma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highlight w:val="yellow"/>
              </w:rPr>
              <w:t>vedi consuntivo attività 2021/23</w:t>
            </w:r>
          </w:p>
        </w:tc>
      </w:tr>
    </w:tbl>
    <w:p>
      <w:pPr>
        <w:pStyle w:val="Corpodeltesto21"/>
        <w:spacing w:before="0" w:after="0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</w:r>
    </w:p>
    <w:p>
      <w:pPr>
        <w:pStyle w:val="Corpodeltesto21"/>
        <w:spacing w:before="0" w:after="0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</w:r>
    </w:p>
    <w:p>
      <w:pPr>
        <w:pStyle w:val="Titolo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rPr>
          <w:rFonts w:ascii="Tahoma" w:hAnsi="Tahoma" w:cs="Tahoma"/>
          <w:sz w:val="22"/>
          <w:szCs w:val="22"/>
        </w:rPr>
      </w:pPr>
      <w:bookmarkStart w:id="3" w:name="_Toc31298521"/>
      <w:r>
        <w:rPr>
          <w:rFonts w:cs="Tahoma" w:ascii="Tahoma" w:hAnsi="Tahoma"/>
          <w:sz w:val="22"/>
          <w:szCs w:val="22"/>
        </w:rPr>
        <w:t>Risultanze dell’analisi</w:t>
      </w:r>
      <w:bookmarkEnd w:id="3"/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Nell’effettuare l’Analisi dei rischi sono stati identificati i processi a rischio, le funzioni coinvolte in tali attività e le azioni già applicate per prevenire il rischio reato suddivise per tipologia come di seguito: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8103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1"/>
        <w:gridCol w:w="701"/>
      </w:tblGrid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controllo;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trasparenza;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definizione e promozione dell’etica e di standard di comportamento;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regolamentazione;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semplificazione;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formazione;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F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sensibilizzazione e partecipazione;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G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rotazione;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H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segnalazione e protezione;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disciplina del conflitto di interessi;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L</w:t>
            </w:r>
          </w:p>
        </w:tc>
      </w:tr>
      <w:tr>
        <w:trPr/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regolazione dei rapporti con i “rappresentanti di interessi particolari” (lobbies).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Si sono individuate le azioni correttive da introdurre e/o implementare per sanare le criticità anch’esse suddivise per tipologia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Sono stati considerati i seguenti reati contemplati nel Titolo II, Capo I, del codice penale.</w:t>
      </w:r>
    </w:p>
    <w:p>
      <w:pPr>
        <w:pStyle w:val="Corpodeltesto"/>
        <w:widowControl w:val="false"/>
        <w:tabs>
          <w:tab w:val="left" w:pos="2160" w:leader="none"/>
          <w:tab w:val="left" w:pos="2880" w:leader="none"/>
          <w:tab w:val="left" w:pos="4253" w:leader="none"/>
          <w:tab w:val="right" w:pos="7088" w:leader="dot"/>
        </w:tabs>
        <w:spacing w:before="0" w:after="0"/>
        <w:ind w:right="0" w:hanging="0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Peculato (art.314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Peculato mediante profitto dell'errore altrui (art. 316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Abuso d’ufficio (art.232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Utilizzazione d'invenzioni o scoperte conosciute per ragione d'ufficio (art. 325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Rivelazione ed utilizzazione di segreti di ufficio (art 326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Rifiuto di atti d’ufficio. Omissione (art.328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Rifiuto o ritardo di obbedienza commesso da un militare o da un agente della forza pubblica. (art. 329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Interruzione di un servizio pubblico o di pubblica necessità (art.331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Sottrazione o danneggiamento di cose sottoposte a sequestro disposto nel corso di un procedimento penale o dall'autorità amministrativa (art. 334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Violazione colposa di doveri inerenti alla custodia di cose sottoposte a sequestro disposto nel corso di un procedimento penale o dall'autorità amministrativa (art. 335 c.p.);</w:t>
      </w:r>
    </w:p>
    <w:p>
      <w:pPr>
        <w:pStyle w:val="Normal"/>
        <w:numPr>
          <w:ilvl w:val="0"/>
          <w:numId w:val="4"/>
        </w:numPr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Malversazione ai danni dello Stato, altro ente pubblico o Comunità europea (art. 316 bis c.p.);</w:t>
      </w:r>
    </w:p>
    <w:p>
      <w:pPr>
        <w:pStyle w:val="Normal"/>
        <w:numPr>
          <w:ilvl w:val="0"/>
          <w:numId w:val="4"/>
        </w:numPr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Indebita percezione di erogazioni a danno dello Stato, altro ente pubblico o Comunità europea (art. 316 ter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Concussione (art. 317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Corruzione per l'esercizio della funzione (art. 318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Corruzione per un atto contrario ai doveri d’ufficio (art. 319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Circostanze aggravanti della corruzione (art. 319 bis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Corruzione in atti giudiziari (art. 319 ter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Induzione indebita a dare o promettere utilità (art. 319-quater) [aggiunto dalla Legge 6 novembre 2012, n. 190];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Corruzione di persona incaricata di un pubblico servizio (art. 320 c.p.)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Pene per il corruttore (art. 321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Istigazione alla corruzione (art. 322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Peculato, concussione, induzione indebita dare o promettere utilità, corruzione e istigazione alla corruzione di membri degli organi delle Comunità europee e di funzionari delle Comunità europee e di Stati esteri (art. 322 bis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Sottrazione o danneggiamento di cose sottoposte a sequestro disposto nel corso di un procedimento penale o dall'autorità amministrativa (art. 334 c.p.);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68" w:leader="none"/>
        </w:tabs>
        <w:ind w:left="1068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Violazione colposa di doveri inerenti alla custodia di cose sottoposte a sequestro disposto nel corso di un procedimento penale o dall'autorità amministrativa (art. 335 c.p.).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 riferimento a tali reati non si possono considerare neppure astrattamente realizzabili nell’ambito dell’azienda i reati di: Utilizzazione d'invenzioni o scoperte conosciute per ragione d'ufficio (art. 325 c.p.); Rivelazione ed utilizzazione di segreti di ufficio (art 326 c.p.); Rifiuto o ritardo di obbedienza commesso da un militare o da un agente della forza pubblica. (art. 329 c.p.); Sottrazione o danneggiamento di cose sottoposte a sequestro disposto nel corso di un procedimento penale o dall'autorità amministrativa (art. 334 c.p.); Violazione colposa di doveri inerenti alla custodia di cose sottoposte a sequestro disposto nel corso di un procedimento penale o dall'autorità amministrativa (art. 335 c.p.).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 processi esaminati sono: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Gestione del processo di approvvigionamento, dalla scelta del fornitore fino al pagamento. </w:t>
      </w:r>
    </w:p>
    <w:p>
      <w:pPr>
        <w:pStyle w:val="Normal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Gestione della scelta e dell’affidamento incarichi a consulenti e collaboratori.</w:t>
      </w:r>
    </w:p>
    <w:p>
      <w:pPr>
        <w:pStyle w:val="Normal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Gestione magazzino</w:t>
      </w:r>
    </w:p>
    <w:p>
      <w:pPr>
        <w:pStyle w:val="Normal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Gestione del personale dalla selezione alla gestione operativa dello stesso;</w:t>
      </w:r>
    </w:p>
    <w:p>
      <w:pPr>
        <w:pStyle w:val="Normal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Processo vendita del farmaco/parafarmaco e altro</w:t>
      </w:r>
    </w:p>
    <w:p>
      <w:pPr>
        <w:pStyle w:val="Normal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Gestione amministrativa contabile (cassa beni aziendali etc.).</w:t>
      </w:r>
    </w:p>
    <w:p>
      <w:pPr>
        <w:pStyle w:val="Normal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225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1/2/3</w:t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3385"/>
        <w:gridCol w:w="971"/>
        <w:gridCol w:w="109"/>
        <w:gridCol w:w="2126"/>
      </w:tblGrid>
      <w:tr>
        <w:trPr/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Attività collegabili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48A54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 reato</w:t>
            </w:r>
          </w:p>
        </w:tc>
      </w:tr>
      <w:tr>
        <w:trPr/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Gestione del processo di approvvigionamento, dalla scelta del fornitore fino al pagamento.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Gestione della scelta e dell’affidamento incarichi a consulenti e collaboratori.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Gestione magazzino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>Corruzione</w:t>
            </w:r>
          </w:p>
          <w:p>
            <w:pPr>
              <w:pStyle w:val="Normal"/>
              <w:widowControl w:val="false"/>
              <w:ind w:right="6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 xml:space="preserve">Abuso d’ufficio </w:t>
            </w: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>Induzione indebita a dare o promettere utilità</w:t>
            </w:r>
          </w:p>
          <w:p>
            <w:pPr>
              <w:pStyle w:val="Normal"/>
              <w:widowControl w:val="false"/>
              <w:ind w:right="6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>Peculato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ar-SA"/>
              </w:rPr>
              <w:t>Esempio di comportamenti illeciti: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Scegliere una ditta produttrice non sulla base dei requisiti di qualità e utilità ma al fine di trarre un vantaggio personale.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Conferimento di incarichi professionali allo scopo di agevolare soggetti privilegiati.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Falsificazione dei dati di magazzino per utilizzo di beni per trarre un vantaggio personale.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Funzioni coinvolte</w:t>
            </w:r>
          </w:p>
        </w:tc>
      </w:tr>
      <w:tr>
        <w:trPr>
          <w:trHeight w:val="316" w:hRule="atLeast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color w:val="auto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  <w:t xml:space="preserve">Amministratore Unico - Direttore della farmacia – Farmacisti </w:t>
            </w:r>
          </w:p>
        </w:tc>
      </w:tr>
      <w:tr>
        <w:trPr>
          <w:trHeight w:val="305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Azioni preventive già in atto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305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bCs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Contratti con grossisti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>
          <w:trHeight w:val="305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Inventario periodico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</w:t>
            </w:r>
          </w:p>
        </w:tc>
      </w:tr>
      <w:tr>
        <w:trPr>
          <w:trHeight w:val="305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Statuto Art 40 – art.41 -art.42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>
          <w:trHeight w:val="305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Codice etico in cui sono integrati i requisiti applicabili del Codice di comportamento dei dipendenti pubblici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Rischio residuo anche a seguito dell’applicazione delle azioni preventive già in atto</w:t>
            </w:r>
          </w:p>
        </w:tc>
      </w:tr>
      <w:tr>
        <w:trPr>
          <w:trHeight w:val="488" w:hRule="atLeast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Indice di valutazione della probabilità (vedi per calcolo par.5)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Indice di valutazione dell’impatto </w:t>
            </w: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Valutazione complessiva rischio</w:t>
            </w:r>
          </w:p>
        </w:tc>
      </w:tr>
      <w:tr>
        <w:trPr>
          <w:trHeight w:val="488" w:hRule="atLeast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MEDIO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MEDIO</w:t>
            </w: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MEDIO</w:t>
            </w:r>
          </w:p>
        </w:tc>
      </w:tr>
      <w:tr>
        <w:trPr>
          <w:trHeight w:val="510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Controlli / procedure / attività da implementare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510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Verificare l’attuazione dei contenuti dello statuto agli art. 40 -41-42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e definire se e come attuare il codice degli Appalti D.lgs. 50 </w:t>
            </w:r>
            <w:r>
              <w:rPr>
                <w:rFonts w:cs="Tahoma" w:ascii="Tahoma" w:hAnsi="Tahoma"/>
                <w:b w:val="false"/>
                <w:sz w:val="22"/>
                <w:szCs w:val="22"/>
                <w:highlight w:val="yellow"/>
              </w:rPr>
              <w:t>e suoi aggiornamenti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>
          <w:trHeight w:val="510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Approfondimenti sulla metodologia di gestione dell’inventario di magazzino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highlight w:val="yellow"/>
              </w:rPr>
              <w:t>e predisposizione di una istruzione/procedura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A</w:t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  <w:r>
        <w:br w:type="page"/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4</w:t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3"/>
        <w:gridCol w:w="3302"/>
        <w:gridCol w:w="1042"/>
        <w:gridCol w:w="2042"/>
        <w:gridCol w:w="33"/>
      </w:tblGrid>
      <w:tr>
        <w:trPr/>
        <w:tc>
          <w:tcPr>
            <w:tcW w:w="7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Attività collegabili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 reato</w:t>
            </w:r>
          </w:p>
        </w:tc>
      </w:tr>
      <w:tr>
        <w:trPr/>
        <w:tc>
          <w:tcPr>
            <w:tcW w:w="7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Gestione del personale dalla selezione alla gestione operativa dello stesso;</w:t>
            </w:r>
          </w:p>
          <w:p>
            <w:pPr>
              <w:pStyle w:val="Default"/>
              <w:widowControl w:val="false"/>
              <w:tabs>
                <w:tab w:val="clear" w:pos="708"/>
                <w:tab w:val="center" w:pos="4853" w:leader="none"/>
              </w:tabs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</w:rPr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" w:hanging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bCs/>
                <w:sz w:val="22"/>
                <w:szCs w:val="22"/>
              </w:rPr>
              <w:t>Corruzione</w:t>
            </w:r>
          </w:p>
          <w:p>
            <w:pPr>
              <w:pStyle w:val="Default"/>
              <w:widowControl w:val="false"/>
              <w:tabs>
                <w:tab w:val="clear" w:pos="708"/>
                <w:tab w:val="center" w:pos="4853" w:leader="none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bCs/>
                <w:sz w:val="22"/>
                <w:szCs w:val="22"/>
              </w:rPr>
              <w:t xml:space="preserve">Abuso d’ufficio </w:t>
            </w:r>
            <w:r>
              <w:rPr>
                <w:rFonts w:eastAsia="Wingdings" w:cs="Wingdings" w:ascii="Wingdings" w:hAnsi="Wingdings"/>
                <w:bCs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>Induzione indebita a dare o promettere utilità</w:t>
            </w:r>
          </w:p>
        </w:tc>
      </w:tr>
      <w:tr>
        <w:trPr/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ar-SA"/>
              </w:rPr>
              <w:t>Esempio di comportamenti illeciti: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Abuso del processo di assunzione per inserire in azienda candidati privilegiati.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Inosservanza delle regole procedurali a garanzia della trasparenza e dell’imparzialità della selezione.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Progressioni economiche o di carriera accordate illegittimamente allo scopo di agevolare dipendenti/candidati privilegiati.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  <w:lang w:eastAsia="ar-SA"/>
              </w:rPr>
              <w:t>Funzioni coinvolte</w:t>
            </w:r>
          </w:p>
        </w:tc>
      </w:tr>
      <w:tr>
        <w:trPr/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Amministratore Unico</w:t>
            </w:r>
          </w:p>
        </w:tc>
      </w:tr>
      <w:tr>
        <w:trPr>
          <w:trHeight w:val="33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  <w:lang w:eastAsia="ar-SA"/>
              </w:rPr>
              <w:t>Azioni preventive già in atto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33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 xml:space="preserve">Si seguono le regole del bando concorso basandosi sui requisiti presenti nel regolamento comunale per le assunzioni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</w:rPr>
              <w:t>D</w:t>
            </w:r>
          </w:p>
        </w:tc>
      </w:tr>
      <w:tr>
        <w:trPr>
          <w:trHeight w:val="33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Statuto art. 30, 31 e 32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</w:rPr>
              <w:t>D</w:t>
            </w:r>
          </w:p>
        </w:tc>
      </w:tr>
      <w:tr>
        <w:trPr>
          <w:trHeight w:val="33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Sistema di gestione della sicurezza sui luoghi di lavoro (d.lgs. 81/08) aggiornato.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</w:rPr>
              <w:t>D</w:t>
            </w:r>
          </w:p>
        </w:tc>
      </w:tr>
      <w:tr>
        <w:trPr>
          <w:trHeight w:val="33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 xml:space="preserve">Sistema di gestione dei dati e delle informazioni aggiornato al GDPR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</w:rPr>
              <w:t>D</w:t>
            </w:r>
          </w:p>
        </w:tc>
      </w:tr>
      <w:tr>
        <w:trPr>
          <w:trHeight w:val="33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Codice sanzionatorio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</w:rPr>
              <w:t>D</w:t>
            </w:r>
          </w:p>
        </w:tc>
      </w:tr>
      <w:tr>
        <w:trPr>
          <w:trHeight w:val="382" w:hRule="atLeast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  <w:lang w:eastAsia="ar-SA"/>
              </w:rPr>
              <w:t>Rischio residuo</w:t>
            </w:r>
          </w:p>
        </w:tc>
      </w:tr>
      <w:tr>
        <w:trPr>
          <w:trHeight w:val="488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Indice di valutazione della probabilità (vedi per calcolo par.5)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Indice di valutazione dell’impatto 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Valutazione complessiva rischio</w:t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BASSO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MEDIO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BASSO</w:t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auto"/>
                <w:sz w:val="22"/>
                <w:szCs w:val="22"/>
                <w:lang w:eastAsia="ar-SA"/>
              </w:rPr>
              <w:t>Controlli / procedure / attività da implementare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/>
                <w:b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30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Predisposizione di un Regolamento/procedura dedicata alla selezione del personale come richiesto dall’art 31 dello Statuto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 xml:space="preserve">Diffusione del Codice etico e dell’aggiornamento del PTPCT a tutto il personale con momento di formazione sulle tematiche del codice di comportamento e sulle misure di prevenzione della corruzione e trasparenza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B/C/D</w:t>
            </w:r>
          </w:p>
        </w:tc>
      </w:tr>
      <w:tr>
        <w:trPr>
          <w:trHeight w:val="300" w:hRule="atLeast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  <w:t>Strutturazione di un Regolamento Whistleblowing per la tutela dell’anonimato del Segnalante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color w:val="auto"/>
                <w:sz w:val="22"/>
                <w:szCs w:val="22"/>
              </w:rPr>
              <w:t>D</w:t>
            </w:r>
          </w:p>
        </w:tc>
      </w:tr>
    </w:tbl>
    <w:p>
      <w:pPr>
        <w:pStyle w:val="Corpodeltesto"/>
        <w:widowControl w:val="false"/>
        <w:tabs>
          <w:tab w:val="clear" w:pos="4253"/>
          <w:tab w:val="left" w:pos="4320" w:leader="none"/>
          <w:tab w:val="left" w:pos="5760" w:leader="none"/>
          <w:tab w:val="right" w:pos="7088" w:leader="dot"/>
        </w:tabs>
        <w:spacing w:before="0" w:after="0"/>
        <w:ind w:left="720" w:right="0" w:hanging="0"/>
        <w:rPr>
          <w:rFonts w:ascii="Tahoma" w:hAnsi="Tahoma" w:cs="Tahoma"/>
          <w:b w:val="false"/>
          <w:b w:val="false"/>
          <w:sz w:val="22"/>
          <w:szCs w:val="22"/>
          <w:highlight w:val="yellow"/>
        </w:rPr>
      </w:pPr>
      <w:r>
        <w:rPr>
          <w:rFonts w:cs="Tahoma" w:ascii="Tahoma" w:hAnsi="Tahoma"/>
          <w:b w:val="false"/>
          <w:sz w:val="22"/>
          <w:szCs w:val="22"/>
          <w:highlight w:val="yellow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068" w:leader="none"/>
        </w:tabs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5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6"/>
        <w:gridCol w:w="3471"/>
        <w:gridCol w:w="417"/>
        <w:gridCol w:w="550"/>
        <w:gridCol w:w="1774"/>
      </w:tblGrid>
      <w:tr>
        <w:trPr>
          <w:trHeight w:val="334" w:hRule="atLeast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"/>
              <w:widowControl w:val="false"/>
              <w:shd w:val="clear" w:color="auto" w:fill="948A54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Attività collegabili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48A54" w:val="clear"/>
          </w:tcPr>
          <w:p>
            <w:pPr>
              <w:pStyle w:val="Corpodeltesto"/>
              <w:widowControl w:val="false"/>
              <w:shd w:val="clear" w:color="auto" w:fill="948A54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 reat</w:t>
            </w:r>
            <w:r>
              <w:rPr>
                <w:rFonts w:cs="Tahoma" w:ascii="Tahoma" w:hAnsi="Tahoma"/>
                <w:sz w:val="22"/>
                <w:szCs w:val="22"/>
                <w:highlight w:val="darkYellow"/>
                <w:shd w:fill="FFFF99" w:val="clear"/>
              </w:rPr>
              <w:t>o</w:t>
            </w:r>
          </w:p>
        </w:tc>
      </w:tr>
      <w:tr>
        <w:trPr>
          <w:trHeight w:val="1000" w:hRule="atLeast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Processo vendita farmaci/parafarmaci e altro </w:t>
            </w:r>
          </w:p>
          <w:p>
            <w:pPr>
              <w:pStyle w:val="Normal"/>
              <w:widowControl w:val="false"/>
              <w:ind w:left="360" w:hanging="0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>Corruzione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 xml:space="preserve">Abuso d’ufficio </w:t>
            </w:r>
            <w:r>
              <w:rPr>
                <w:rFonts w:eastAsia="Wingdings" w:cs="Wingdings" w:ascii="Wingdings" w:hAnsi="Wingdings"/>
                <w:sz w:val="22"/>
                <w:szCs w:val="22"/>
              </w:rPr>
              <w:t></w:t>
            </w:r>
            <w:r>
              <w:rPr>
                <w:rFonts w:cs="Tahoma" w:ascii="Tahoma" w:hAnsi="Tahoma"/>
                <w:sz w:val="22"/>
                <w:szCs w:val="22"/>
              </w:rPr>
              <w:t>Induzione indebita a dare o promettere utilità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ar-SA"/>
              </w:rPr>
              <w:t xml:space="preserve">Esempio di comportamenti illeciti: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Erogazione del farmaco senza ricetta;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 xml:space="preserve">Consegna a minore di farmaci; </w:t>
            </w:r>
          </w:p>
          <w:p>
            <w:pPr>
              <w:pStyle w:val="Notaapidipagina"/>
              <w:widowControl w:val="false"/>
              <w:numPr>
                <w:ilvl w:val="0"/>
                <w:numId w:val="11"/>
              </w:numPr>
              <w:suppressAutoHyphens w:val="false"/>
              <w:ind w:left="720" w:right="180" w:hanging="607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sz w:val="22"/>
                <w:szCs w:val="22"/>
                <w:lang w:val="it-IT"/>
              </w:rPr>
              <w:t>Vendita di prodotti farmaceutici da parte dei commessi;</w:t>
            </w:r>
          </w:p>
          <w:p>
            <w:pPr>
              <w:pStyle w:val="Notaapidipagina"/>
              <w:widowControl w:val="false"/>
              <w:numPr>
                <w:ilvl w:val="0"/>
                <w:numId w:val="11"/>
              </w:numPr>
              <w:suppressAutoHyphens w:val="false"/>
              <w:ind w:left="720" w:right="180" w:hanging="607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cs="Tahoma" w:ascii="Tahoma" w:hAnsi="Tahoma"/>
                <w:sz w:val="22"/>
                <w:szCs w:val="22"/>
                <w:lang w:val="it-IT"/>
              </w:rPr>
              <w:t>Ogni altro comportamento che rientri nell’abuso di professione.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Funzioni coinvolte</w:t>
            </w:r>
          </w:p>
        </w:tc>
      </w:tr>
      <w:tr>
        <w:trPr>
          <w:trHeight w:val="366" w:hRule="atLeast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Direttore della farmacia – Farmacisti </w:t>
            </w:r>
          </w:p>
        </w:tc>
      </w:tr>
      <w:tr>
        <w:trPr>
          <w:trHeight w:val="305" w:hRule="atLeast"/>
        </w:trPr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Azioni preventive già in atto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305" w:hRule="atLeast"/>
        </w:trPr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Codice deontologico del farmacista.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>
          <w:trHeight w:val="305" w:hRule="atLeast"/>
        </w:trPr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Sistema Haccp aggiornato e sotto controllo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>
          <w:trHeight w:val="305" w:hRule="atLeast"/>
        </w:trPr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Codice etico in cui sono integrati i requisiti applicabili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del Codice di comportamento dei dipendenti pubblici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Rischio residuo anche a seguito dell’applicazione delle azioni preventive già in atto</w:t>
            </w:r>
          </w:p>
        </w:tc>
      </w:tr>
      <w:tr>
        <w:trPr>
          <w:trHeight w:val="488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Indice di valutazione della probabilità (vedi per calcolo par.5)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Indice di valutazione dell’impatto 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Valutazione complessiva rischio</w:t>
            </w:r>
          </w:p>
        </w:tc>
      </w:tr>
      <w:tr>
        <w:trPr>
          <w:trHeight w:val="488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BASSO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BASSO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BASSO</w:t>
            </w:r>
          </w:p>
        </w:tc>
      </w:tr>
      <w:tr>
        <w:trPr>
          <w:trHeight w:val="300" w:hRule="atLeast"/>
        </w:trPr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Controlli / procedure / attività da implementare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300" w:hRule="atLeast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Nessuna attività da pianificare </w:t>
            </w:r>
          </w:p>
        </w:tc>
      </w:tr>
    </w:tbl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  <w:r>
        <w:br w:type="page"/>
      </w:r>
    </w:p>
    <w:p>
      <w:pPr>
        <w:pStyle w:val="Normal"/>
        <w:tabs>
          <w:tab w:val="clear" w:pos="708"/>
          <w:tab w:val="left" w:pos="4136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Corpodeltesto"/>
        <w:widowControl w:val="false"/>
        <w:tabs>
          <w:tab w:val="clear" w:pos="4253"/>
          <w:tab w:val="left" w:pos="4320" w:leader="none"/>
          <w:tab w:val="left" w:pos="5760" w:leader="none"/>
          <w:tab w:val="right" w:pos="7088" w:leader="dot"/>
        </w:tabs>
        <w:spacing w:before="0" w:after="0"/>
        <w:ind w:right="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6</w:t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"/>
        <w:gridCol w:w="3476"/>
        <w:gridCol w:w="3722"/>
        <w:gridCol w:w="576"/>
        <w:gridCol w:w="2085"/>
        <w:gridCol w:w="33"/>
      </w:tblGrid>
      <w:tr>
        <w:trPr>
          <w:trHeight w:val="285" w:hRule="atLeast"/>
        </w:trPr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Attività collegabili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 reato</w:t>
            </w:r>
          </w:p>
        </w:tc>
      </w:tr>
      <w:tr>
        <w:trPr>
          <w:trHeight w:val="587" w:hRule="atLeast"/>
        </w:trPr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ind w:left="34" w:hanging="34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6 Gestione amministrativa contabile (cassa e beni aziendali etc.)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  <w:t>Peculato</w:t>
            </w:r>
          </w:p>
        </w:tc>
      </w:tr>
      <w:tr>
        <w:trPr>
          <w:trHeight w:val="1038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Tahoma" w:hAnsi="Tahoma" w:cs="Tahoma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eastAsia="ar-SA"/>
              </w:rPr>
              <w:t>Esempio di comportamenti illeciti: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Uso ai fini personali del denaro aziendale.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Appropriarsi indebitamente del denaro dell’azienda avendo accesso alla cassa in contante o ai conti bancari.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eastAsia="ar-SA"/>
              </w:rPr>
              <w:t>Utilizzo ai fini propri del bene aziendale.</w:t>
            </w:r>
          </w:p>
        </w:tc>
      </w:tr>
      <w:tr>
        <w:trPr>
          <w:trHeight w:val="285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Funzioni coinvolte:</w:t>
            </w:r>
          </w:p>
        </w:tc>
      </w:tr>
      <w:tr>
        <w:trPr>
          <w:trHeight w:val="571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Tutto il personale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306" w:hRule="atLeast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Azioni preventive già in atto: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Tipologia Azione </w:t>
            </w:r>
          </w:p>
        </w:tc>
      </w:tr>
      <w:tr>
        <w:trPr>
          <w:trHeight w:val="306" w:hRule="atLeast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- Controllo periodico del revisore dei conti presso la farmacia e presso gli uffici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</w:t>
            </w:r>
          </w:p>
        </w:tc>
      </w:tr>
      <w:tr>
        <w:trPr>
          <w:trHeight w:val="306" w:hRule="atLeast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val="en-US"/>
              </w:rPr>
              <w:t xml:space="preserve">Statuto d art 33 a art. 39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D</w:t>
            </w:r>
          </w:p>
        </w:tc>
      </w:tr>
      <w:tr>
        <w:trPr>
          <w:trHeight w:val="306" w:hRule="atLeast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Contratto di servizio perfezionato con il Comune di Pogliano e pubblicato sul sito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  <w:tr>
        <w:trPr>
          <w:trHeight w:val="751" w:hRule="atLeast"/>
        </w:trPr>
        <w:tc>
          <w:tcPr>
            <w:tcW w:w="31" w:type="dxa"/>
            <w:tcBorders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/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Indice di valutazione della probabilità (vedi per calcolo par.5)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Indice di valutazione dell’impatto 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Valutazione complessiva rischio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3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/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BASSO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MEDIO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BASSO</w:t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Controlli / procedure / attività da implementare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Tipologia Azione</w:t>
            </w:r>
          </w:p>
        </w:tc>
      </w:tr>
      <w:tr>
        <w:trPr>
          <w:trHeight w:val="305" w:hRule="atLeast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Redigere regolamento o procedura per la gestione della finanza e del controllo come richiesto dall’Art dello statuto n° 39 e suoi aggiornamenti.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</w:tr>
    </w:tbl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2281" w:leader="none"/>
        </w:tabs>
        <w:jc w:val="both"/>
        <w:rPr>
          <w:rFonts w:ascii="Tahoma" w:hAnsi="Tahoma" w:cs="Tahoma"/>
          <w:b/>
          <w:b/>
          <w:sz w:val="22"/>
          <w:szCs w:val="22"/>
          <w:highlight w:val="yellow"/>
        </w:rPr>
      </w:pPr>
      <w:r>
        <w:rPr>
          <w:rFonts w:cs="Tahoma" w:ascii="Tahoma" w:hAnsi="Tahoma"/>
          <w:b/>
          <w:sz w:val="22"/>
          <w:szCs w:val="22"/>
          <w:highlight w:val="yellow"/>
        </w:rPr>
      </w:r>
    </w:p>
    <w:p>
      <w:pPr>
        <w:pStyle w:val="Normal"/>
        <w:rPr>
          <w:rFonts w:ascii="Tahoma" w:hAnsi="Tahoma" w:cs="Tahoma"/>
          <w:sz w:val="26"/>
          <w:szCs w:val="26"/>
        </w:rPr>
      </w:pPr>
      <w:r>
        <w:rPr>
          <w:rFonts w:cs="Tahoma" w:ascii="Tahoma" w:hAnsi="Tahoma"/>
          <w:sz w:val="26"/>
          <w:szCs w:val="26"/>
        </w:rPr>
        <w:t xml:space="preserve">Riassunto delle azioni da intraprendere per evitare di incorrere nei reati identificati. </w:t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tbl>
      <w:tblPr>
        <w:tblW w:w="10239" w:type="dxa"/>
        <w:jc w:val="left"/>
        <w:tblInd w:w="-4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  <w:gridCol w:w="382"/>
        <w:gridCol w:w="6804"/>
        <w:gridCol w:w="2692"/>
      </w:tblGrid>
      <w:tr>
        <w:trPr>
          <w:trHeight w:val="233" w:hRule="atLeast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ind w:left="-5778" w:right="5998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ind w:left="-5778" w:right="5998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*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Azioni da intraprendere 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Pianificazione attività</w:t>
            </w:r>
          </w:p>
        </w:tc>
      </w:tr>
      <w:tr>
        <w:trPr>
          <w:trHeight w:val="115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4"/>
                <w:szCs w:val="24"/>
                <w:lang w:eastAsia="it-IT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Verificare l’attuazione dei contenuti dello statuto agli art. 40 -41- 42 (gestione fornitori) e definire se e come attuare il codice degli Appalti D.lgs. 50 </w:t>
            </w:r>
            <w:r>
              <w:rPr>
                <w:rFonts w:cs="Tahoma" w:ascii="Tahoma" w:hAnsi="Tahoma"/>
                <w:b w:val="false"/>
                <w:sz w:val="22"/>
                <w:szCs w:val="22"/>
                <w:highlight w:val="yellow"/>
              </w:rPr>
              <w:t>e suoi aggiornamenti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right="0" w:hanging="0"/>
              <w:rPr>
                <w:rFonts w:ascii="Tahoma" w:hAnsi="Tahoma" w:cs="Tahoma"/>
                <w:b w:val="false"/>
                <w:b w:val="false"/>
                <w:sz w:val="24"/>
                <w:szCs w:val="24"/>
                <w:lang w:eastAsia="it-IT"/>
              </w:rPr>
            </w:pPr>
            <w:r>
              <w:rPr>
                <w:rFonts w:cs="Tahoma" w:ascii="Tahoma" w:hAnsi="Tahoma"/>
                <w:b w:val="false"/>
                <w:sz w:val="24"/>
                <w:szCs w:val="24"/>
                <w:lang w:eastAsia="it-IT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Entro: 2023</w:t>
            </w:r>
          </w:p>
        </w:tc>
      </w:tr>
      <w:tr>
        <w:trPr>
          <w:trHeight w:val="115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Resp.: A.U. e Direttore (RPCT)</w:t>
            </w:r>
          </w:p>
        </w:tc>
      </w:tr>
      <w:tr>
        <w:trPr>
          <w:trHeight w:val="55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Esito: </w:t>
            </w:r>
          </w:p>
        </w:tc>
      </w:tr>
      <w:tr>
        <w:trPr>
          <w:trHeight w:val="205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Predisposizione di un Regolamento/procedura dedicata 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alla selezione del personale come richiesto dall’art 31 dello Statuto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Entro: 2023</w:t>
            </w:r>
          </w:p>
        </w:tc>
      </w:tr>
      <w:tr>
        <w:trPr>
          <w:trHeight w:val="368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Resp: A.U. e Direttore (RPCT)</w:t>
            </w:r>
          </w:p>
        </w:tc>
      </w:tr>
      <w:tr>
        <w:trPr>
          <w:trHeight w:val="121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Esito:</w:t>
            </w:r>
          </w:p>
        </w:tc>
      </w:tr>
      <w:tr>
        <w:trPr>
          <w:trHeight w:val="275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Redigere regolamento o procedura per la gestione della finanza e del controllo come richiesto dall’Art dello statuto n 39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Entro: 2023</w:t>
            </w:r>
          </w:p>
        </w:tc>
      </w:tr>
      <w:tr>
        <w:trPr>
          <w:trHeight w:val="275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Resp: A.U. Consulente contabilità </w:t>
            </w:r>
          </w:p>
        </w:tc>
      </w:tr>
      <w:tr>
        <w:trPr>
          <w:trHeight w:val="293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left" w:pos="4253" w:leader="none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Esito:</w:t>
            </w:r>
          </w:p>
        </w:tc>
      </w:tr>
      <w:tr>
        <w:trPr>
          <w:trHeight w:val="496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2"/>
                <w:szCs w:val="22"/>
              </w:rPr>
              <w:t>B/C/D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Diffusione del Codice etico e dell’aggiornamento del PTPCT a tutto il personale attraverso sottoscrizione di lettera per ricevimento, con momento di formazione sulle tematiche del codice di comportamento e sulle misure di prevenzione della corruzione e trasparenza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Entro: 2023</w:t>
            </w:r>
          </w:p>
        </w:tc>
      </w:tr>
      <w:tr>
        <w:trPr>
          <w:trHeight w:val="496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Resp: RPCT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</w:r>
          </w:p>
        </w:tc>
      </w:tr>
      <w:tr>
        <w:trPr>
          <w:trHeight w:val="496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Esito:</w:t>
            </w:r>
          </w:p>
        </w:tc>
      </w:tr>
      <w:tr>
        <w:trPr>
          <w:trHeight w:val="196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5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Approfondimenti sulla metodologia di gestione dell’inventario di magazzino con redazione di una istruzione/procedura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Entro: 2023</w:t>
            </w:r>
          </w:p>
        </w:tc>
      </w:tr>
      <w:tr>
        <w:trPr>
          <w:trHeight w:val="196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Resp: RPCT</w:t>
            </w:r>
          </w:p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</w:r>
          </w:p>
        </w:tc>
      </w:tr>
      <w:tr>
        <w:trPr>
          <w:trHeight w:val="196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Tahoma" w:ascii="Tahoma" w:hAnsi="Tahoma"/>
                <w:b/>
                <w:sz w:val="22"/>
                <w:szCs w:val="22"/>
                <w:highlight w:val="yellow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Esito:</w:t>
            </w:r>
          </w:p>
        </w:tc>
      </w:tr>
      <w:tr>
        <w:trPr>
          <w:trHeight w:val="196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Strutturazione di un Regolamento Whistleblowing per la tutela dell’anonimato del Segnalante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Entro: 2023</w:t>
            </w:r>
          </w:p>
        </w:tc>
      </w:tr>
      <w:tr>
        <w:trPr>
          <w:trHeight w:val="196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Resp: RPCT approvazione AU </w:t>
            </w:r>
          </w:p>
        </w:tc>
      </w:tr>
      <w:tr>
        <w:trPr>
          <w:trHeight w:val="196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8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6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tabs>
                <w:tab w:val="clear" w:pos="4253"/>
                <w:tab w:val="left" w:pos="4320" w:leader="none"/>
                <w:tab w:val="left" w:pos="5760" w:leader="none"/>
                <w:tab w:val="right" w:pos="7088" w:leader="dot"/>
              </w:tabs>
              <w:spacing w:before="0" w:after="0"/>
              <w:ind w:left="-3510" w:right="0" w:firstLine="3510"/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Esito:</w:t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  <w:r>
        <w:br w:type="page"/>
      </w:r>
    </w:p>
    <w:p>
      <w:pPr>
        <w:pStyle w:val="Titolo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rPr>
          <w:rFonts w:ascii="Tahoma" w:hAnsi="Tahoma" w:cs="Tahoma"/>
          <w:sz w:val="22"/>
          <w:szCs w:val="22"/>
        </w:rPr>
      </w:pPr>
      <w:bookmarkStart w:id="4" w:name="_Toc31298522"/>
      <w:bookmarkStart w:id="5" w:name="_Toc374962679"/>
      <w:r>
        <w:rPr>
          <w:rFonts w:cs="Tahoma" w:ascii="Tahoma" w:hAnsi="Tahoma"/>
          <w:sz w:val="22"/>
          <w:szCs w:val="22"/>
        </w:rPr>
        <w:t>Mappa del rischio reato e azioni collegabili</w:t>
      </w:r>
      <w:bookmarkEnd w:id="4"/>
      <w:bookmarkEnd w:id="5"/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L’analisi dei rischi consiste nella valutazione della probabilità che il rischio si realizzi e delle conseguenze che il rischio produce (probabilità ed impatto) per giungere alla determinazione del livello di rischio. </w:t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  <w:t>Si considerano come elementi di calcolo la probabilità di accadimento e l’impatto/gravità/criticità dello stesso. In base al prodotto ottenuto tra i valori di queste due variabili si definisce il livello di rischio e le tipologie di soluzione da adottare per abbassare il livello fino ad uno stato che possa essere considerato sotto controllo.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numPr>
          <w:ilvl w:val="0"/>
          <w:numId w:val="12"/>
        </w:numPr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i/>
          <w:iCs/>
          <w:kern w:val="2"/>
          <w:sz w:val="22"/>
          <w:szCs w:val="22"/>
        </w:rPr>
        <w:t>La probabilità di accadimento</w:t>
      </w:r>
    </w:p>
    <w:p>
      <w:pPr>
        <w:pStyle w:val="Normal"/>
        <w:ind w:left="360" w:hanging="0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  <w:t>Deve essere intesa come la possibilità che un reato possa essere commesso, alla luce della conoscenza che la persona/e intervistata/e ha/hanno dell’operatività aziendale, delle procedure esistenti e della qualità professionale delle persone che operano nell’ambito dell’organizzazione</w:t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8"/>
        <w:gridCol w:w="7409"/>
      </w:tblGrid>
      <w:tr>
        <w:trPr/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 xml:space="preserve">Per probabilità: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Basso: 1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nessun evento negativo precedente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presenza di procedure scritte e regole condivise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controlli presenti e registrati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personale formato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basso turn over di personale</w:t>
            </w:r>
          </w:p>
        </w:tc>
      </w:tr>
      <w:tr>
        <w:trPr/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Media: 2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evidenze scritte relative solo ad alcuni controlli che occorre effettuare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poche regole scritte che regolamentano l’attività o il processo a rischio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maggiore turn over di personale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formazione limitata e non pianificata </w:t>
            </w:r>
          </w:p>
        </w:tc>
      </w:tr>
      <w:tr>
        <w:trPr/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Alta:3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nessuna regola scritta che regolamenta l’attività o il processo a rischio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assenza di controlli intermedi e finali sulle attività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formazione assente </w:t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numPr>
          <w:ilvl w:val="0"/>
          <w:numId w:val="12"/>
        </w:numPr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i/>
          <w:iCs/>
          <w:kern w:val="2"/>
          <w:sz w:val="22"/>
          <w:szCs w:val="22"/>
        </w:rPr>
        <w:t>Impatto/gravità/criticità</w:t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  <w:t>Rappresenta sia l’importanza per la società dell’area nel cui ambito può essere commesso il reato, sia l’ammontare e il tipo di sanzioni che la commissione del reato comporta sia le conseguenze sull’operatività dell’Azienda.</w:t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  <w:t>.</w:t>
      </w:r>
    </w:p>
    <w:p>
      <w:pPr>
        <w:pStyle w:val="Normal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7414"/>
      </w:tblGrid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Per impatto/ gravità: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Basso: 1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costi minimi in caso di accadimento per ripristinare la conformità 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sanzione ridotta non impattante sulla funzionalità aziendale 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Media: 2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costi elevati che non comportino conseguenze per l’operatività dell’azienda. Sanzioni seppur elevate che non impattano sulla operatività dell’azienda.</w:t>
            </w:r>
          </w:p>
        </w:tc>
      </w:tr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Alta: 3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costi in caso di imputazione che comportino gravi conseguenze per l’operatività della società (costi gestione contenzioso richieste danni terzi) - sanzioni in caso di imputazione che comportino gravi conseguenze per l’operatività della società ( interdizione – pubblicazione sentenza) </w:t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Cs/>
          <w:kern w:val="2"/>
          <w:sz w:val="22"/>
          <w:szCs w:val="22"/>
        </w:rPr>
        <w:t xml:space="preserve">  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ListParagraph"/>
        <w:ind w:left="360" w:hanging="0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>Relazione tra probabilità e impatto/gravità/criticità per definire il livello di rischio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42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5"/>
        <w:gridCol w:w="1724"/>
        <w:gridCol w:w="1733"/>
        <w:gridCol w:w="2048"/>
        <w:gridCol w:w="2552"/>
      </w:tblGrid>
      <w:tr>
        <w:trPr>
          <w:trHeight w:val="263" w:hRule="exact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Probabilità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Alta (3)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BBB59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DE9D9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9</w:t>
            </w:r>
          </w:p>
        </w:tc>
      </w:tr>
      <w:tr>
        <w:trPr>
          <w:trHeight w:val="263" w:hRule="exac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Media (2)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color="auto" w:fill="9BBB59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Bassa (1)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BB59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IMPATTO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Basso (1)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Medio (2)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Alto (3)</w:t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>1= Basso –sotto controllo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>2 = Basso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 xml:space="preserve">Da 3 a 4 = Medio 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 xml:space="preserve">6 =Alto 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>9= Altissimo</w:t>
      </w:r>
    </w:p>
    <w:p>
      <w:pPr>
        <w:pStyle w:val="Normal"/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rPr>
          <w:rFonts w:ascii="Tahoma" w:hAnsi="Tahoma" w:cs="Tahoma"/>
          <w:b/>
          <w:b/>
          <w:bCs/>
          <w:kern w:val="2"/>
          <w:sz w:val="22"/>
          <w:szCs w:val="22"/>
        </w:rPr>
      </w:pPr>
      <w:r>
        <w:rPr>
          <w:rFonts w:cs="Tahoma" w:ascii="Tahoma" w:hAnsi="Tahoma"/>
          <w:b/>
          <w:bCs/>
          <w:kern w:val="2"/>
          <w:sz w:val="22"/>
          <w:szCs w:val="22"/>
        </w:rPr>
        <w:t>Possibili soluzioni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94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"/>
        <w:gridCol w:w="713"/>
        <w:gridCol w:w="1558"/>
        <w:gridCol w:w="7157"/>
        <w:gridCol w:w="215"/>
        <w:gridCol w:w="20"/>
        <w:gridCol w:w="21"/>
      </w:tblGrid>
      <w:tr>
        <w:trPr/>
        <w:tc>
          <w:tcPr>
            <w:tcW w:w="1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/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LIVELLO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POSSIBILI SOLUZIONI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Altissimo</w:t>
            </w:r>
          </w:p>
        </w:tc>
        <w:tc>
          <w:tcPr>
            <w:tcW w:w="7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Cessazione o misure straordinarie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(Piano specifico)</w:t>
            </w:r>
          </w:p>
        </w:tc>
      </w:tr>
      <w:tr>
        <w:trPr/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BE4D5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E4D5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Alto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Procedure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Controllo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Addestramento e formazione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Necessità di realizzazione nel breve periodo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3 -4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Medio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Procedure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Controllo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Addestramento e formazione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Possibilità di realizzazione sul  breve/medio periodo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>Basso</w:t>
            </w:r>
          </w:p>
        </w:tc>
        <w:tc>
          <w:tcPr>
            <w:tcW w:w="73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Procedure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Controllo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Addestramento e formazione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 xml:space="preserve">Possibilità di realizzazione sul lungo periodo 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kern w:val="2"/>
                <w:sz w:val="22"/>
                <w:szCs w:val="22"/>
              </w:rPr>
              <w:t xml:space="preserve">Basso Sotto controllo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  <w:t>Consapevolezza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Cs/>
                <w:kern w:val="2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kern w:val="2"/>
                <w:sz w:val="22"/>
                <w:szCs w:val="22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ahoma" w:hAnsi="Tahoma" w:cs="Tahoma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709" w:top="766" w:footer="153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mith&amp;Nephew-Regular">
    <w:charset w:val="00"/>
    <w:family w:val="roman"/>
    <w:pitch w:val="variable"/>
  </w:font>
  <w:font w:name="Wingdings">
    <w:charset w:val="02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 xml:space="preserve">Approvata con Delibera dell’AU n° </w:t>
    </w:r>
    <w:r>
      <w:rPr>
        <w:rFonts w:cs="Tahoma" w:ascii="Tahoma" w:hAnsi="Tahoma"/>
        <w:color w:val="FF0000"/>
        <w:sz w:val="20"/>
        <w:szCs w:val="20"/>
      </w:rPr>
      <w:t>04</w:t>
    </w:r>
    <w:r>
      <w:rPr>
        <w:rFonts w:cs="Tahoma" w:ascii="Tahoma" w:hAnsi="Tahoma"/>
        <w:sz w:val="20"/>
        <w:szCs w:val="20"/>
      </w:rPr>
      <w:t xml:space="preserve"> del 31/03/2023</w:t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9065" cy="153670"/>
              <wp:effectExtent l="0" t="0" r="0" b="0"/>
              <wp:wrapSquare wrapText="bothSides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cs="Tahoma" w:ascii="Tahoma" w:hAnsi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t>12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95pt;height:12.1pt;mso-wrap-distance-left:0pt;mso-wrap-distance-right:0pt;mso-wrap-distance-top:0pt;mso-wrap-distance-bottom:0pt;margin-top:0.05pt;mso-position-vertical-relative:text;margin-left:470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cs="Tahoma" w:ascii="Tahoma" w:hAnsi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t>12</w:t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 xml:space="preserve">Approvata con Delibera dell’AU n° </w:t>
    </w:r>
    <w:r>
      <w:rPr>
        <w:rFonts w:cs="Tahoma" w:ascii="Tahoma" w:hAnsi="Tahoma"/>
        <w:color w:val="FF0000"/>
        <w:sz w:val="20"/>
        <w:szCs w:val="20"/>
      </w:rPr>
      <w:t>04</w:t>
    </w:r>
    <w:r>
      <w:rPr>
        <w:rFonts w:cs="Tahoma" w:ascii="Tahoma" w:hAnsi="Tahoma"/>
        <w:sz w:val="20"/>
        <w:szCs w:val="20"/>
      </w:rPr>
      <w:t xml:space="preserve"> del 31/03/2023</w:t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9065" cy="153670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cs="Tahoma" w:ascii="Tahoma" w:hAnsi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t>12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ahoma" w:ascii="Tahoma" w:hAnsi="Tahom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95pt;height:12.1pt;mso-wrap-distance-left:0pt;mso-wrap-distance-right:0pt;mso-wrap-distance-top:0pt;mso-wrap-distance-bottom:0pt;margin-top:0.05pt;mso-position-vertical-relative:text;margin-left:470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cs="Tahoma" w:ascii="Tahoma" w:hAnsi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t>12</w:t>
                    </w:r>
                    <w:r>
                      <w:rPr>
                        <w:rStyle w:val="Pagenumber"/>
                        <w:sz w:val="20"/>
                        <w:szCs w:val="20"/>
                        <w:rFonts w:cs="Tahoma" w:ascii="Tahoma" w:hAnsi="Tahoma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rFonts w:ascii="Tahoma" w:hAnsi="Tahoma" w:cs="Tahoma"/>
        <w:sz w:val="16"/>
        <w:szCs w:val="16"/>
      </w:rPr>
    </w:pPr>
    <w:r>
      <w:rPr>
        <w:rFonts w:ascii="Calibri" w:hAnsi="Calibri"/>
        <w:sz w:val="16"/>
        <w:szCs w:val="16"/>
      </w:rPr>
      <w:t>AZIENDA SPECIALE FARMACEUTICA DI POGLIANO MILANESE</w:t>
    </w:r>
    <w:r>
      <w:rPr>
        <w:rFonts w:cs="Tahoma" w:ascii="Tahoma" w:hAnsi="Tahoma"/>
        <w:sz w:val="16"/>
        <w:szCs w:val="16"/>
      </w:rPr>
      <w:tab/>
      <w:tab/>
    </w:r>
    <w:r>
      <w:rPr>
        <w:rFonts w:cs="Tahoma" w:ascii="Tahoma" w:hAnsi="Tahoma"/>
        <w:sz w:val="16"/>
        <w:szCs w:val="16"/>
        <w:highlight w:val="yellow"/>
      </w:rPr>
      <w:t>Analisi dei rischi di reato 202</w:t>
    </w:r>
    <w:r>
      <w:rPr>
        <w:rFonts w:cs="Tahoma" w:ascii="Tahoma" w:hAnsi="Tahoma"/>
        <w:sz w:val="16"/>
        <w:szCs w:val="16"/>
      </w:rPr>
      <w:t>3</w:t>
    </w:r>
  </w:p>
  <w:p>
    <w:pPr>
      <w:pStyle w:val="Pidipagina"/>
      <w:rPr>
        <w:rFonts w:ascii="Verdana" w:hAnsi="Verdana"/>
        <w:i/>
        <w:i/>
        <w:sz w:val="16"/>
        <w:szCs w:val="16"/>
      </w:rPr>
    </w:pPr>
    <w:r>
      <w:rPr>
        <w:rFonts w:cs="Tahoma" w:ascii="Tahoma" w:hAnsi="Tahoma"/>
        <w:sz w:val="16"/>
        <w:szCs w:val="16"/>
      </w:rPr>
      <w:tab/>
      <w:tab/>
    </w:r>
    <w:r>
      <w:rPr>
        <w:rFonts w:cs="Tahoma" w:ascii="Tahoma" w:hAnsi="Tahoma"/>
        <w:sz w:val="16"/>
        <w:szCs w:val="16"/>
        <w:highlight w:val="yellow"/>
      </w:rPr>
      <w:t>Allegato Al PTPCT 2023 202</w:t>
    </w:r>
    <w:r>
      <w:rPr>
        <w:rFonts w:cs="Tahoma" w:ascii="Tahoma" w:hAnsi="Tahoma"/>
        <w:sz w:val="16"/>
        <w:szCs w:val="16"/>
      </w:rPr>
      <w:t>5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cs="Wingdings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a954a8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link w:val="Titolo3Carattere"/>
    <w:qFormat/>
    <w:rsid w:val="005947ee"/>
    <w:pPr>
      <w:keepNext w:val="true"/>
      <w:tabs>
        <w:tab w:val="clear" w:pos="708"/>
        <w:tab w:val="left" w:pos="3402" w:leader="none"/>
        <w:tab w:val="left" w:pos="3544" w:leader="none"/>
        <w:tab w:val="left" w:pos="3969" w:leader="none"/>
        <w:tab w:val="left" w:pos="7371" w:leader="none"/>
        <w:tab w:val="left" w:pos="7938" w:leader="none"/>
      </w:tabs>
      <w:suppressAutoHyphens w:val="true"/>
      <w:spacing w:before="60" w:after="60"/>
      <w:jc w:val="both"/>
      <w:outlineLvl w:val="2"/>
    </w:pPr>
    <w:rPr>
      <w:rFonts w:ascii="Garamond" w:hAnsi="Garamond"/>
      <w:b/>
      <w:sz w:val="1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5238a"/>
    <w:rPr/>
  </w:style>
  <w:style w:type="character" w:styleId="CollegamentoInternet">
    <w:name w:val="Hyperlink"/>
    <w:uiPriority w:val="99"/>
    <w:rsid w:val="00a6638b"/>
    <w:rPr>
      <w:color w:val="0000FF"/>
      <w:u w:val="single"/>
    </w:rPr>
  </w:style>
  <w:style w:type="character" w:styleId="Strong">
    <w:name w:val="Strong"/>
    <w:uiPriority w:val="22"/>
    <w:qFormat/>
    <w:rsid w:val="00f1228e"/>
    <w:rPr>
      <w:b/>
      <w:bCs/>
    </w:rPr>
  </w:style>
  <w:style w:type="character" w:styleId="Itemaction" w:customStyle="1">
    <w:name w:val="item-action"/>
    <w:basedOn w:val="DefaultParagraphFont"/>
    <w:qFormat/>
    <w:rsid w:val="00f1228e"/>
    <w:rPr/>
  </w:style>
  <w:style w:type="character" w:styleId="Emailposticon" w:customStyle="1">
    <w:name w:val="email-post-icon"/>
    <w:basedOn w:val="DefaultParagraphFont"/>
    <w:qFormat/>
    <w:rsid w:val="00f1228e"/>
    <w:rPr/>
  </w:style>
  <w:style w:type="character" w:styleId="Titolo3Carattere" w:customStyle="1">
    <w:name w:val="Titolo 3 Carattere"/>
    <w:semiHidden/>
    <w:qFormat/>
    <w:rsid w:val="005947ee"/>
    <w:rPr>
      <w:rFonts w:ascii="Garamond" w:hAnsi="Garamond"/>
      <w:b/>
      <w:sz w:val="18"/>
      <w:lang w:eastAsia="ar-SA"/>
    </w:rPr>
  </w:style>
  <w:style w:type="character" w:styleId="TestonotaapidipaginaCarattere" w:customStyle="1">
    <w:name w:val="Testo nota a piè di pagina Carattere"/>
    <w:uiPriority w:val="99"/>
    <w:qFormat/>
    <w:rsid w:val="005947ee"/>
    <w:rPr>
      <w:lang w:val="en-GB" w:eastAsia="ar-SA"/>
    </w:rPr>
  </w:style>
  <w:style w:type="character" w:styleId="IntestazioneCarattere" w:customStyle="1">
    <w:name w:val="Intestazione Carattere"/>
    <w:qFormat/>
    <w:rsid w:val="005947ee"/>
    <w:rPr>
      <w:sz w:val="24"/>
      <w:szCs w:val="24"/>
    </w:rPr>
  </w:style>
  <w:style w:type="character" w:styleId="PidipaginaCarattere" w:customStyle="1">
    <w:name w:val="Piè di pagina Carattere"/>
    <w:qFormat/>
    <w:rsid w:val="005947ee"/>
    <w:rPr>
      <w:sz w:val="24"/>
      <w:szCs w:val="24"/>
    </w:rPr>
  </w:style>
  <w:style w:type="character" w:styleId="CorpotestoCarattere" w:customStyle="1">
    <w:name w:val="Corpo testo Carattere"/>
    <w:qFormat/>
    <w:rsid w:val="005947ee"/>
    <w:rPr>
      <w:rFonts w:ascii="Garamond" w:hAnsi="Garamond"/>
      <w:b/>
      <w:lang w:eastAsia="ar-SA"/>
    </w:rPr>
  </w:style>
  <w:style w:type="character" w:styleId="RientrocorpodeltestoCarattere" w:customStyle="1">
    <w:name w:val="Rientro corpo del testo Carattere"/>
    <w:qFormat/>
    <w:rsid w:val="00345c35"/>
    <w:rPr>
      <w:sz w:val="24"/>
      <w:szCs w:val="24"/>
    </w:rPr>
  </w:style>
  <w:style w:type="character" w:styleId="Enfasi">
    <w:name w:val="Emphasis"/>
    <w:qFormat/>
    <w:rsid w:val="001b640b"/>
    <w:rPr>
      <w:i/>
      <w:iCs/>
    </w:rPr>
  </w:style>
  <w:style w:type="character" w:styleId="Titolo1Carattere" w:customStyle="1">
    <w:name w:val="Titolo 1 Carattere"/>
    <w:uiPriority w:val="9"/>
    <w:qFormat/>
    <w:rsid w:val="00a954a8"/>
    <w:rPr>
      <w:rFonts w:ascii="Cambria" w:hAnsi="Cambria"/>
      <w:b/>
      <w:bCs/>
      <w:kern w:val="2"/>
      <w:sz w:val="32"/>
      <w:szCs w:val="32"/>
    </w:rPr>
  </w:style>
  <w:style w:type="character" w:styleId="Annotationreference">
    <w:name w:val="annotation reference"/>
    <w:qFormat/>
    <w:rsid w:val="00885db9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885db9"/>
    <w:rPr/>
  </w:style>
  <w:style w:type="character" w:styleId="SoggettocommentoCarattere" w:customStyle="1">
    <w:name w:val="Soggetto commento Carattere"/>
    <w:link w:val="Annotationsubject"/>
    <w:qFormat/>
    <w:rsid w:val="00885db9"/>
    <w:rPr>
      <w:b/>
      <w:bCs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5947ee"/>
    <w:pPr>
      <w:tabs>
        <w:tab w:val="clear" w:pos="708"/>
        <w:tab w:val="left" w:pos="4253" w:leader="none"/>
        <w:tab w:val="right" w:pos="7088" w:leader="dot"/>
      </w:tabs>
      <w:suppressAutoHyphens w:val="true"/>
      <w:spacing w:before="80" w:after="0"/>
      <w:ind w:right="-426" w:hanging="0"/>
      <w:jc w:val="both"/>
    </w:pPr>
    <w:rPr>
      <w:rFonts w:ascii="Garamond" w:hAnsi="Garamond"/>
      <w:b/>
      <w:sz w:val="20"/>
      <w:szCs w:val="20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6109b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6109b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1228e"/>
    <w:pPr>
      <w:spacing w:beforeAutospacing="1" w:afterAutospacing="1"/>
    </w:pPr>
    <w:rPr/>
  </w:style>
  <w:style w:type="paragraph" w:styleId="Postfooterline" w:customStyle="1">
    <w:name w:val="post-footer-line"/>
    <w:basedOn w:val="Normal"/>
    <w:qFormat/>
    <w:rsid w:val="00f1228e"/>
    <w:pPr>
      <w:spacing w:beforeAutospacing="1" w:afterAutospacing="1"/>
    </w:pPr>
    <w:rPr/>
  </w:style>
  <w:style w:type="paragraph" w:styleId="Default" w:customStyle="1">
    <w:name w:val="Default"/>
    <w:qFormat/>
    <w:rsid w:val="0089190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5947ee"/>
    <w:pPr>
      <w:suppressAutoHyphens w:val="true"/>
    </w:pPr>
    <w:rPr>
      <w:sz w:val="20"/>
      <w:szCs w:val="20"/>
      <w:lang w:val="en-GB" w:eastAsia="ar-SA"/>
    </w:rPr>
  </w:style>
  <w:style w:type="paragraph" w:styleId="Corpodeltesto21" w:customStyle="1">
    <w:name w:val="Corpo del testo 21"/>
    <w:basedOn w:val="Normal"/>
    <w:qFormat/>
    <w:rsid w:val="005947ee"/>
    <w:pPr>
      <w:suppressAutoHyphens w:val="true"/>
      <w:spacing w:before="0" w:after="120"/>
      <w:jc w:val="both"/>
    </w:pPr>
    <w:rPr>
      <w:rFonts w:ascii="Arial" w:hAnsi="Arial"/>
      <w:b/>
      <w:sz w:val="18"/>
      <w:szCs w:val="20"/>
      <w:lang w:eastAsia="ar-SA"/>
    </w:rPr>
  </w:style>
  <w:style w:type="paragraph" w:styleId="Contenutotabella" w:customStyle="1">
    <w:name w:val="Contenuto tabella"/>
    <w:basedOn w:val="Normal"/>
    <w:qFormat/>
    <w:rsid w:val="005947ee"/>
    <w:pPr>
      <w:widowControl w:val="false"/>
      <w:suppressLineNumbers/>
      <w:suppressAutoHyphens w:val="true"/>
    </w:pPr>
    <w:rPr>
      <w:rFonts w:eastAsia="Arial Unicode MS"/>
      <w:lang w:eastAsia="ar-SA"/>
    </w:rPr>
  </w:style>
  <w:style w:type="paragraph" w:styleId="NormaleWeb1" w:customStyle="1">
    <w:name w:val="Normale (Web)1"/>
    <w:basedOn w:val="Normal"/>
    <w:qFormat/>
    <w:rsid w:val="005947ee"/>
    <w:pPr>
      <w:suppressAutoHyphens w:val="true"/>
      <w:spacing w:before="100" w:after="119"/>
    </w:pPr>
    <w:rPr>
      <w:rFonts w:eastAsia="Batang"/>
      <w:lang w:eastAsia="ar-SA"/>
    </w:rPr>
  </w:style>
  <w:style w:type="paragraph" w:styleId="Rientrocorpodeltesto">
    <w:name w:val="Body Text Indent"/>
    <w:basedOn w:val="Normal"/>
    <w:link w:val="RientrocorpodeltestoCarattere"/>
    <w:rsid w:val="00345c35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e938e9"/>
    <w:pPr>
      <w:ind w:left="708" w:hanging="0"/>
    </w:pPr>
    <w:rPr/>
  </w:style>
  <w:style w:type="paragraph" w:styleId="BalloonText">
    <w:name w:val="Balloon Text"/>
    <w:basedOn w:val="Normal"/>
    <w:semiHidden/>
    <w:qFormat/>
    <w:rsid w:val="008948c9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67737a"/>
    <w:pPr>
      <w:tabs>
        <w:tab w:val="clear" w:pos="708"/>
        <w:tab w:val="left" w:pos="5954" w:leader="none"/>
        <w:tab w:val="left" w:pos="6804" w:leader="none"/>
      </w:tabs>
      <w:ind w:left="567" w:right="474" w:hanging="0"/>
      <w:jc w:val="both"/>
    </w:pPr>
    <w:rPr>
      <w:rFonts w:ascii="Smith&amp;Nephew-Regular" w:hAnsi="Smith&amp;Nephew-Regular"/>
    </w:rPr>
  </w:style>
  <w:style w:type="paragraph" w:styleId="Annotationtext">
    <w:name w:val="annotation text"/>
    <w:basedOn w:val="Normal"/>
    <w:link w:val="TestocommentoCarattere"/>
    <w:qFormat/>
    <w:rsid w:val="00885db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885db9"/>
    <w:pPr/>
    <w:rPr>
      <w:b/>
      <w:bCs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qFormat/>
    <w:rsid w:val="00d57f4a"/>
    <w:pPr>
      <w:keepLines/>
      <w:spacing w:lineRule="auto" w:line="276"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Indice1">
    <w:name w:val="TOC 1"/>
    <w:basedOn w:val="Normal"/>
    <w:next w:val="Normal"/>
    <w:autoRedefine/>
    <w:uiPriority w:val="39"/>
    <w:rsid w:val="006a304b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07c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12</Pages>
  <Words>2612</Words>
  <Characters>15460</Characters>
  <CharactersWithSpaces>17686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2023-03-30T09:33:00Z</dcterms:created>
  <dc:creator/>
  <dc:description/>
  <dc:language>it-IT</dc:language>
  <cp:lastModifiedBy/>
  <dcterms:modified xsi:type="dcterms:W3CDTF">2023-04-05T11:10:04Z</dcterms:modified>
  <cp:revision>6</cp:revision>
  <dc:subject/>
  <dc:title>Indice sommario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